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C2F597E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3534BC">
        <w:rPr>
          <w:rFonts w:ascii="Sylfaen" w:hAnsi="Sylfaen" w:cs="Sylfaen"/>
          <w:sz w:val="20"/>
          <w:lang w:val="ka-GE"/>
        </w:rPr>
        <w:t xml:space="preserve">პოლიკლინიკის </w:t>
      </w:r>
      <w:r w:rsidR="006616EA">
        <w:rPr>
          <w:rFonts w:ascii="Sylfaen" w:hAnsi="Sylfaen" w:cs="Sylfaen"/>
          <w:sz w:val="20"/>
          <w:lang w:val="ka-GE"/>
        </w:rPr>
        <w:t>სარემონტო</w:t>
      </w:r>
      <w:r w:rsidR="003534BC">
        <w:rPr>
          <w:rFonts w:ascii="Sylfaen" w:hAnsi="Sylfaen" w:cs="Sylfaen"/>
          <w:sz w:val="20"/>
          <w:lang w:val="ka-GE"/>
        </w:rPr>
        <w:t>-სარეკონსტრუქციო</w:t>
      </w:r>
      <w:r w:rsidR="006616EA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2F2EC5C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3534BC">
        <w:rPr>
          <w:rFonts w:ascii="Sylfaen" w:hAnsi="Sylfaen" w:cs="Sylfaen"/>
          <w:sz w:val="20"/>
          <w:lang w:val="ka-GE"/>
        </w:rPr>
        <w:t>1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E20093">
        <w:rPr>
          <w:rFonts w:ascii="Sylfaen" w:hAnsi="Sylfaen" w:cs="Sylfaen"/>
          <w:sz w:val="20"/>
          <w:lang w:val="ka-GE"/>
        </w:rPr>
        <w:t>1</w:t>
      </w:r>
      <w:r w:rsidR="006616EA">
        <w:rPr>
          <w:rFonts w:ascii="Sylfaen" w:hAnsi="Sylfaen" w:cs="Sylfaen"/>
          <w:sz w:val="20"/>
          <w:lang w:val="ka-GE"/>
        </w:rPr>
        <w:t xml:space="preserve"> </w:t>
      </w:r>
      <w:r w:rsidR="00E20093">
        <w:rPr>
          <w:rFonts w:ascii="Sylfaen" w:hAnsi="Sylfaen" w:cs="Sylfaen"/>
          <w:sz w:val="20"/>
          <w:lang w:val="ka-GE"/>
        </w:rPr>
        <w:t>დეკემბრის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2E2280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A61995E" w:rsidR="002E2280" w:rsidRPr="00C63B85" w:rsidRDefault="00E20093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24 ნოემბერი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BB2809A" w:rsidR="002E2280" w:rsidRPr="00C63B85" w:rsidRDefault="00E20093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1 დეკემბერი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0A125A4" w:rsidR="002E2280" w:rsidRPr="00C63B85" w:rsidRDefault="00E20093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</w:t>
            </w:r>
            <w:r w:rsidR="006616EA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დეკემბერი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79B92EB" w:rsidR="002E2280" w:rsidRPr="00C63B85" w:rsidRDefault="00E20093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8 დეკემბერი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7EDC55A0" w14:textId="638794D2" w:rsidR="002E2280" w:rsidRPr="002E2280" w:rsidRDefault="00173EC8" w:rsidP="002E2280">
      <w:pPr>
        <w:rPr>
          <w:rFonts w:ascii="Sylfaen" w:hAnsi="Sylfaen" w:cs="Calibri"/>
          <w:szCs w:val="22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4F3729">
        <w:rPr>
          <w:rFonts w:ascii="Sylfaen" w:hAnsi="Sylfaen" w:cs="Sylfaen"/>
          <w:sz w:val="20"/>
          <w:lang w:val="ka-GE"/>
        </w:rPr>
        <w:t>ქალაქ თბილი</w:t>
      </w:r>
      <w:r w:rsidR="001C0FA3">
        <w:rPr>
          <w:rFonts w:ascii="Sylfaen" w:hAnsi="Sylfaen" w:cs="Sylfaen"/>
          <w:sz w:val="20"/>
          <w:lang w:val="ka-GE"/>
        </w:rPr>
        <w:t>ს</w:t>
      </w:r>
      <w:r w:rsidR="004F3729">
        <w:rPr>
          <w:rFonts w:ascii="Sylfaen" w:hAnsi="Sylfaen" w:cs="Sylfaen"/>
          <w:sz w:val="20"/>
          <w:lang w:val="ka-GE"/>
        </w:rPr>
        <w:t>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1C0FA3">
        <w:rPr>
          <w:rFonts w:ascii="Sylfaen" w:hAnsi="Sylfaen" w:cs="Sylfaen"/>
          <w:sz w:val="20"/>
          <w:lang w:val="ka-GE"/>
        </w:rPr>
        <w:t xml:space="preserve"> </w:t>
      </w:r>
      <w:r w:rsidR="001C0FA3" w:rsidRPr="001C0FA3">
        <w:rPr>
          <w:rFonts w:ascii="Sylfaen" w:hAnsi="Sylfaen" w:cs="Sylfaen"/>
          <w:sz w:val="20"/>
          <w:lang w:val="ka-GE"/>
        </w:rPr>
        <w:t xml:space="preserve"> </w:t>
      </w:r>
      <w:r w:rsidR="003534BC" w:rsidRPr="003534BC">
        <w:rPr>
          <w:rFonts w:ascii="Sylfaen" w:hAnsi="Sylfaen" w:cs="Sylfaen"/>
          <w:sz w:val="20"/>
          <w:lang w:val="ka-GE"/>
        </w:rPr>
        <w:t>ქ. თბილისი,</w:t>
      </w:r>
      <w:r w:rsidR="00E20093">
        <w:rPr>
          <w:rFonts w:ascii="Sylfaen" w:hAnsi="Sylfaen" w:cs="Sylfaen"/>
          <w:sz w:val="20"/>
          <w:lang w:val="ka-GE"/>
        </w:rPr>
        <w:t xml:space="preserve"> გურამიშვილის გამზირი #63, </w:t>
      </w:r>
      <w:r w:rsidR="003534BC">
        <w:rPr>
          <w:rFonts w:ascii="Sylfaen" w:hAnsi="Sylfaen" w:cs="Sylfaen"/>
          <w:sz w:val="20"/>
          <w:lang w:val="ka-GE"/>
        </w:rPr>
        <w:t>პოლიკლინიკის მოწყობისათვის სარკონსტრუქციო-სარემონტო სამუშაოების შესრულება</w:t>
      </w:r>
    </w:p>
    <w:p w14:paraId="25E7E1EA" w14:textId="19F1F50A" w:rsidR="001F33F7" w:rsidRPr="008E2CEF" w:rsidRDefault="001F33F7" w:rsidP="008E2CEF">
      <w:pPr>
        <w:rPr>
          <w:rFonts w:ascii="Calibri" w:hAnsi="Calibri" w:cs="Calibri"/>
          <w:szCs w:val="22"/>
          <w:lang w:val="en-US"/>
        </w:rPr>
      </w:pP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645A6D65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  <w:r w:rsidR="00F92799">
        <w:rPr>
          <w:rFonts w:ascii="Sylfaen" w:hAnsi="Sylfaen" w:cs="Sylfaen"/>
          <w:sz w:val="20"/>
          <w:lang w:val="ka-GE"/>
        </w:rPr>
        <w:t xml:space="preserve"> </w:t>
      </w:r>
    </w:p>
    <w:p w14:paraId="77E4BE79" w14:textId="77777777" w:rsidR="00E20093" w:rsidRDefault="003534BC" w:rsidP="00F130B3">
      <w:pPr>
        <w:rPr>
          <w:rFonts w:ascii="Sylfaen" w:hAnsi="Sylfaen" w:cs="Sylfaen"/>
          <w:b/>
          <w:bCs/>
          <w:sz w:val="20"/>
          <w:lang w:val="ka-GE"/>
        </w:rPr>
      </w:pPr>
      <w:r w:rsidRPr="003534BC">
        <w:rPr>
          <w:rFonts w:ascii="Sylfaen" w:hAnsi="Sylfaen" w:cs="Sylfaen"/>
          <w:b/>
          <w:bCs/>
          <w:sz w:val="20"/>
          <w:lang w:val="ka-GE"/>
        </w:rPr>
        <w:t>დანართი #7</w:t>
      </w:r>
      <w:r>
        <w:rPr>
          <w:rFonts w:ascii="Sylfaen" w:hAnsi="Sylfaen" w:cs="Sylfaen"/>
          <w:b/>
          <w:bCs/>
          <w:sz w:val="20"/>
          <w:lang w:val="ka-GE"/>
        </w:rPr>
        <w:t>- არქიტექტურული ნაწილი</w:t>
      </w:r>
    </w:p>
    <w:p w14:paraId="7C23A5A3" w14:textId="7CADAF31" w:rsidR="003534BC" w:rsidRPr="003534BC" w:rsidRDefault="00E20093" w:rsidP="00F130B3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დანართი #8 -</w:t>
      </w:r>
      <w:r w:rsidR="003534BC">
        <w:rPr>
          <w:rFonts w:ascii="Sylfaen" w:hAnsi="Sylfaen" w:cs="Sylfaen"/>
          <w:b/>
          <w:bCs/>
          <w:sz w:val="20"/>
          <w:lang w:val="ka-GE"/>
        </w:rPr>
        <w:t xml:space="preserve"> ტექნოლოგიური ნაწილი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0D0FDD73" w:rsidR="00187D40" w:rsidRPr="00E25F8D" w:rsidRDefault="00E25F8D" w:rsidP="001D2EDB">
      <w:pPr>
        <w:rPr>
          <w:rFonts w:ascii="Sylfaen" w:hAnsi="Sylfaen" w:cs="Sylfaen"/>
          <w:b/>
          <w:bCs/>
          <w:color w:val="000000" w:themeColor="text1"/>
          <w:sz w:val="20"/>
          <w:lang w:val="ka-GE"/>
        </w:rPr>
      </w:pP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lastRenderedPageBreak/>
        <w:t xml:space="preserve">სამუშაოები </w:t>
      </w:r>
      <w:r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სასურველია</w:t>
      </w:r>
      <w:r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შესრულდეს 70(სამოცდაათი) კალენდარული დღის ვადაში, თუ პრეტენდენტისთვის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en-US"/>
        </w:rPr>
        <w:t xml:space="preserve"> 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სამუშაოების შესასრ</w:t>
      </w:r>
      <w:r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ულებლად გამოყოფილი 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ვადა</w:t>
      </w:r>
      <w:r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არასაკმარისია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en-US"/>
        </w:rPr>
        <w:t>,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შესაძლებელია მიუთ</w:t>
      </w:r>
      <w:r>
        <w:rPr>
          <w:rFonts w:ascii="Sylfaen" w:hAnsi="Sylfaen" w:cs="Sylfaen"/>
          <w:b/>
          <w:bCs/>
          <w:color w:val="000000" w:themeColor="text1"/>
          <w:sz w:val="20"/>
          <w:lang w:val="ka-GE"/>
        </w:rPr>
        <w:t>ი</w:t>
      </w:r>
      <w:r w:rsidRPr="00E25F8D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თოს მისთის სასურველი ვადა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7E78FBA7" w14:textId="7DA63BF0" w:rsidR="00C154DF" w:rsidRDefault="00C154DF" w:rsidP="0042617C">
      <w:pPr>
        <w:rPr>
          <w:rFonts w:ascii="Sylfaen" w:hAnsi="Sylfaen" w:cs="Sylfaen"/>
          <w:sz w:val="20"/>
          <w:lang w:val="en-US"/>
        </w:rPr>
      </w:pPr>
    </w:p>
    <w:p w14:paraId="6D56614B" w14:textId="44B3D4AE" w:rsidR="00D062B9" w:rsidRPr="00235775" w:rsidRDefault="00D062B9" w:rsidP="0042617C">
      <w:pPr>
        <w:rPr>
          <w:rFonts w:ascii="Sylfaen" w:hAnsi="Sylfaen" w:cs="Sylfaen"/>
          <w:b/>
          <w:bCs/>
          <w:sz w:val="20"/>
          <w:lang w:val="ka-GE"/>
        </w:rPr>
      </w:pPr>
      <w:r w:rsidRPr="00235775">
        <w:rPr>
          <w:rFonts w:ascii="Sylfaen" w:hAnsi="Sylfaen" w:cs="Sylfaen"/>
          <w:b/>
          <w:bCs/>
          <w:sz w:val="20"/>
          <w:lang w:val="ka-GE"/>
        </w:rPr>
        <w:t>დამატებითი პირობები:</w:t>
      </w:r>
    </w:p>
    <w:p w14:paraId="47C75325" w14:textId="77777777" w:rsidR="00D062B9" w:rsidRPr="00E20093" w:rsidRDefault="00D062B9" w:rsidP="00D062B9">
      <w:pPr>
        <w:pStyle w:val="ListParagraph"/>
        <w:ind w:left="426"/>
        <w:rPr>
          <w:rFonts w:ascii="Sylfaen" w:hAnsi="Sylfaen" w:cs="Sylfaen"/>
          <w:bCs/>
          <w:color w:val="FF0000"/>
          <w:sz w:val="20"/>
          <w:lang w:val="ka-GE"/>
        </w:rPr>
      </w:pPr>
    </w:p>
    <w:p w14:paraId="04F16510" w14:textId="22B2ED34" w:rsidR="00D062B9" w:rsidRPr="00E20093" w:rsidRDefault="003534BC" w:rsidP="00235775">
      <w:pPr>
        <w:pStyle w:val="ListParagraph"/>
        <w:ind w:left="426"/>
        <w:rPr>
          <w:rFonts w:ascii="Sylfaen" w:hAnsi="Sylfaen" w:cs="Sylfaen"/>
          <w:b/>
          <w:color w:val="FF0000"/>
          <w:sz w:val="20"/>
          <w:lang w:val="ka-GE"/>
        </w:rPr>
      </w:pPr>
      <w:r w:rsidRPr="00E20093">
        <w:rPr>
          <w:rFonts w:ascii="Sylfaen" w:hAnsi="Sylfaen" w:cs="Sylfaen"/>
          <w:b/>
          <w:color w:val="FF0000"/>
          <w:sz w:val="20"/>
          <w:lang w:val="ka-GE"/>
        </w:rPr>
        <w:t xml:space="preserve">აუცილებელია </w:t>
      </w:r>
      <w:r w:rsidR="00941454" w:rsidRPr="00E20093">
        <w:rPr>
          <w:rFonts w:ascii="Sylfaen" w:hAnsi="Sylfaen" w:cs="Sylfaen"/>
          <w:b/>
          <w:color w:val="FF0000"/>
          <w:sz w:val="20"/>
          <w:lang w:val="ka-GE"/>
        </w:rPr>
        <w:t>ობიექტის</w:t>
      </w:r>
      <w:r w:rsidRPr="00E20093">
        <w:rPr>
          <w:rFonts w:ascii="Sylfaen" w:hAnsi="Sylfaen" w:cs="Sylfaen"/>
          <w:b/>
          <w:color w:val="FF0000"/>
          <w:sz w:val="20"/>
          <w:lang w:val="ka-GE"/>
        </w:rPr>
        <w:t xml:space="preserve"> დათავლიერება</w:t>
      </w:r>
      <w:r w:rsidR="00941454" w:rsidRPr="00E20093">
        <w:rPr>
          <w:rFonts w:ascii="Sylfaen" w:hAnsi="Sylfaen" w:cs="Sylfaen"/>
          <w:b/>
          <w:color w:val="FF0000"/>
          <w:sz w:val="20"/>
          <w:lang w:val="ka-GE"/>
        </w:rPr>
        <w:t xml:space="preserve"> სატენდერო წინადადების წარმოდგენამდე</w:t>
      </w:r>
      <w:r w:rsidRPr="00E20093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</w:p>
    <w:p w14:paraId="4EB98023" w14:textId="77777777" w:rsidR="003534BC" w:rsidRPr="003534BC" w:rsidRDefault="003534BC" w:rsidP="00235775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9AEA80F" w14:textId="7B33953E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51C90052" w14:textId="77777777" w:rsidR="00D062B9" w:rsidRDefault="0035522B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680E7E37" w14:textId="4DE1273E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ვადა</w:t>
      </w:r>
    </w:p>
    <w:p w14:paraId="0F0CEB29" w14:textId="77777777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პერიოდში რეაგირების ვადა;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1470A58D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5016F00C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B6B8926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C70065" w14:textId="288E6DA7" w:rsidR="00F92799" w:rsidRPr="005D30B2" w:rsidRDefault="00F92799" w:rsidP="005D30B2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5D30B2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5D30B2">
        <w:rPr>
          <w:rFonts w:ascii="Sylfaen" w:hAnsi="Sylfaen" w:cs="Sylfaen"/>
          <w:sz w:val="20"/>
          <w:lang w:val="en-US"/>
        </w:rPr>
        <w:t xml:space="preserve"> </w:t>
      </w:r>
      <w:r w:rsidRPr="005D30B2">
        <w:rPr>
          <w:rFonts w:ascii="Sylfaen" w:hAnsi="Sylfaen" w:cs="Sylfaen"/>
          <w:sz w:val="20"/>
          <w:lang w:val="ka-GE"/>
        </w:rPr>
        <w:t xml:space="preserve">შეუძლიათ იმ იურიდიულ პირებს, რომელთა წლიურმა ბრუნვამ ბოლო დასრულებული საგადასახადო წლის მანძილზე შეადგინა არანაკლებ </w:t>
      </w:r>
      <w:r w:rsidR="004B669D">
        <w:rPr>
          <w:rFonts w:ascii="Sylfaen" w:hAnsi="Sylfaen" w:cs="Sylfaen"/>
          <w:sz w:val="20"/>
          <w:lang w:val="ka-GE"/>
        </w:rPr>
        <w:t>3</w:t>
      </w:r>
      <w:r w:rsidRPr="005D30B2">
        <w:rPr>
          <w:rFonts w:ascii="Sylfaen" w:hAnsi="Sylfaen" w:cs="Sylfaen"/>
          <w:sz w:val="20"/>
          <w:lang w:val="en-US"/>
        </w:rPr>
        <w:t>00,000</w:t>
      </w:r>
      <w:r w:rsidRPr="005D30B2">
        <w:rPr>
          <w:rFonts w:ascii="Sylfaen" w:hAnsi="Sylfaen" w:cs="Sylfaen"/>
          <w:sz w:val="20"/>
          <w:lang w:val="ka-GE"/>
        </w:rPr>
        <w:t xml:space="preserve"> ლარი</w:t>
      </w:r>
      <w:r w:rsidRPr="005D30B2">
        <w:rPr>
          <w:rFonts w:ascii="Sylfaen" w:hAnsi="Sylfaen" w:cs="Sylfaen"/>
          <w:sz w:val="20"/>
          <w:lang w:val="en-US"/>
        </w:rPr>
        <w:t xml:space="preserve">. </w:t>
      </w:r>
    </w:p>
    <w:p w14:paraId="408BC2A0" w14:textId="77777777" w:rsidR="00F92799" w:rsidRPr="005D30B2" w:rsidRDefault="00F92799" w:rsidP="005D30B2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4E30AC45" w:rsidR="006B056D" w:rsidRPr="008D187E" w:rsidRDefault="001C0FA3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მიშენებისათვის განკუთვნილი</w:t>
      </w:r>
      <w:r w:rsidR="005A302A" w:rsidRPr="008D187E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 w:rsidRPr="005D30B2">
        <w:rPr>
          <w:rFonts w:ascii="Sylfaen" w:hAnsi="Sylfaen"/>
          <w:b/>
          <w:bCs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4542A36E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</w:t>
      </w:r>
      <w:r w:rsidR="003534BC">
        <w:rPr>
          <w:rFonts w:ascii="Sylfaen" w:hAnsi="Sylfaen" w:cs="Sylfaen"/>
          <w:sz w:val="20"/>
          <w:lang w:val="ka-GE"/>
        </w:rPr>
        <w:t xml:space="preserve"> რომლის რაოდენობა არ უნდა აღემატებოდეს მთლიანი თანხის 20%-ს</w:t>
      </w:r>
      <w:r w:rsidR="00941454">
        <w:rPr>
          <w:rFonts w:ascii="Sylfaen" w:hAnsi="Sylfaen" w:cs="Sylfaen"/>
          <w:sz w:val="20"/>
          <w:lang w:val="ka-GE"/>
        </w:rPr>
        <w:t>,</w:t>
      </w:r>
      <w:r w:rsidRPr="00254255">
        <w:rPr>
          <w:rFonts w:ascii="Sylfaen" w:hAnsi="Sylfaen" w:cs="Sylfaen"/>
          <w:sz w:val="20"/>
          <w:lang w:val="ka-GE"/>
        </w:rPr>
        <w:t xml:space="preserve"> გამარჯვებულ </w:t>
      </w:r>
      <w:r w:rsidRPr="00254255">
        <w:rPr>
          <w:rFonts w:ascii="Sylfaen" w:hAnsi="Sylfaen" w:cs="Sylfaen"/>
          <w:sz w:val="20"/>
          <w:lang w:val="ka-GE"/>
        </w:rPr>
        <w:lastRenderedPageBreak/>
        <w:t>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</w:t>
      </w:r>
      <w:bookmarkStart w:id="1" w:name="_Hlk47443502"/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381540F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3534BC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E20093">
        <w:rPr>
          <w:rFonts w:ascii="Sylfaen" w:hAnsi="Sylfaen" w:cs="Sylfaen"/>
          <w:sz w:val="20"/>
          <w:lang w:val="ka-GE"/>
        </w:rPr>
        <w:t>1 დეკემბრის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53829725" w:rsidR="00A92E91" w:rsidRPr="00941454" w:rsidRDefault="00F13EF7" w:rsidP="00236C2C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r w:rsidRPr="008D187E">
        <w:rPr>
          <w:rFonts w:ascii="Sylfaen" w:hAnsi="Sylfaen" w:cs="Sylfaen"/>
          <w:sz w:val="20"/>
        </w:rPr>
        <w:t>ვიზიტის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თარიღი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წინასწარ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შეთანხმდეს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3534BC">
        <w:rPr>
          <w:rFonts w:ascii="Sylfaen" w:hAnsi="Sylfaen" w:cs="Sylfaen"/>
          <w:sz w:val="20"/>
          <w:lang w:val="ka-GE"/>
        </w:rPr>
        <w:t>, საკონტატქო:</w:t>
      </w:r>
      <w:r w:rsidR="00941454">
        <w:rPr>
          <w:rFonts w:ascii="Sylfaen" w:hAnsi="Sylfaen" w:cs="Sylfaen"/>
          <w:sz w:val="20"/>
          <w:lang w:val="ka-GE"/>
        </w:rPr>
        <w:t xml:space="preserve"> </w:t>
      </w:r>
      <w:r w:rsidR="003534BC">
        <w:rPr>
          <w:rFonts w:ascii="Sylfaen" w:hAnsi="Sylfaen" w:cs="Sylfaen"/>
          <w:sz w:val="20"/>
          <w:lang w:val="ka-GE"/>
        </w:rPr>
        <w:t>599466373 ვახტანგ ბოჭორიშვილი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695C" w14:textId="77777777" w:rsidR="00013F19" w:rsidRDefault="00013F19">
      <w:r>
        <w:separator/>
      </w:r>
    </w:p>
  </w:endnote>
  <w:endnote w:type="continuationSeparator" w:id="0">
    <w:p w14:paraId="2F5FA204" w14:textId="77777777" w:rsidR="00013F19" w:rsidRDefault="0001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C564" w14:textId="77777777" w:rsidR="00013F19" w:rsidRDefault="00013F19">
      <w:r>
        <w:separator/>
      </w:r>
    </w:p>
  </w:footnote>
  <w:footnote w:type="continuationSeparator" w:id="0">
    <w:p w14:paraId="2B40FA0C" w14:textId="77777777" w:rsidR="00013F19" w:rsidRDefault="0001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5A5E086F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3534BC">
            <w:rPr>
              <w:rFonts w:ascii="Sylfaen" w:hAnsi="Sylfaen" w:cs="Sylfaen"/>
              <w:b/>
              <w:sz w:val="20"/>
              <w:lang w:val="ka-GE"/>
            </w:rPr>
            <w:t>პოლიკლინიკის მოწყობის</w:t>
          </w:r>
          <w:r w:rsidR="004F3729" w:rsidRPr="004F3729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6616EA">
            <w:rPr>
              <w:rFonts w:ascii="Sylfaen" w:hAnsi="Sylfaen" w:cs="Sylfaen"/>
              <w:b/>
              <w:sz w:val="20"/>
              <w:lang w:val="ka-GE"/>
            </w:rPr>
            <w:t>სარემონტ</w:t>
          </w:r>
          <w:r w:rsidR="003534BC">
            <w:rPr>
              <w:rFonts w:ascii="Sylfaen" w:hAnsi="Sylfaen" w:cs="Sylfaen"/>
              <w:b/>
              <w:sz w:val="20"/>
              <w:lang w:val="ka-GE"/>
            </w:rPr>
            <w:t>ო-სარეკონსტრუქციო</w:t>
          </w:r>
          <w:r w:rsidR="004F3729" w:rsidRPr="004F3729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245B"/>
    <w:rsid w:val="0000398B"/>
    <w:rsid w:val="00012A85"/>
    <w:rsid w:val="00012D9D"/>
    <w:rsid w:val="00013F19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C45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0FA3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5775"/>
    <w:rsid w:val="00236C2C"/>
    <w:rsid w:val="00240478"/>
    <w:rsid w:val="00245CD4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280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47DB2"/>
    <w:rsid w:val="003534BC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6A18"/>
    <w:rsid w:val="0044234E"/>
    <w:rsid w:val="00452A2A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B669D"/>
    <w:rsid w:val="004C14B2"/>
    <w:rsid w:val="004C228A"/>
    <w:rsid w:val="004D403E"/>
    <w:rsid w:val="004E5E6D"/>
    <w:rsid w:val="004F278B"/>
    <w:rsid w:val="004F3729"/>
    <w:rsid w:val="004F7BB7"/>
    <w:rsid w:val="00504FFA"/>
    <w:rsid w:val="00513020"/>
    <w:rsid w:val="005158AC"/>
    <w:rsid w:val="005173EB"/>
    <w:rsid w:val="005355FD"/>
    <w:rsid w:val="00537F2C"/>
    <w:rsid w:val="00542DF9"/>
    <w:rsid w:val="00582D2C"/>
    <w:rsid w:val="005831B7"/>
    <w:rsid w:val="00583565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0B2"/>
    <w:rsid w:val="005D3E9C"/>
    <w:rsid w:val="005D4477"/>
    <w:rsid w:val="005D5124"/>
    <w:rsid w:val="005D544E"/>
    <w:rsid w:val="005D7263"/>
    <w:rsid w:val="005E005A"/>
    <w:rsid w:val="005E1A16"/>
    <w:rsid w:val="005E3858"/>
    <w:rsid w:val="005F477C"/>
    <w:rsid w:val="00612219"/>
    <w:rsid w:val="006134F6"/>
    <w:rsid w:val="00613F95"/>
    <w:rsid w:val="00614A65"/>
    <w:rsid w:val="00616C19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6EA"/>
    <w:rsid w:val="0066197B"/>
    <w:rsid w:val="006774B2"/>
    <w:rsid w:val="00677AEA"/>
    <w:rsid w:val="006A6A48"/>
    <w:rsid w:val="006B056D"/>
    <w:rsid w:val="006B271E"/>
    <w:rsid w:val="006B306D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21BA"/>
    <w:rsid w:val="00905499"/>
    <w:rsid w:val="00911C22"/>
    <w:rsid w:val="00917048"/>
    <w:rsid w:val="00933DFC"/>
    <w:rsid w:val="00934042"/>
    <w:rsid w:val="009354B6"/>
    <w:rsid w:val="009360D9"/>
    <w:rsid w:val="00941454"/>
    <w:rsid w:val="00942F2A"/>
    <w:rsid w:val="00946D09"/>
    <w:rsid w:val="009570CB"/>
    <w:rsid w:val="00961529"/>
    <w:rsid w:val="00966EDA"/>
    <w:rsid w:val="00973992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B471E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54DF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926A5"/>
    <w:rsid w:val="00CA015A"/>
    <w:rsid w:val="00CA1028"/>
    <w:rsid w:val="00CA4F6A"/>
    <w:rsid w:val="00CB18A1"/>
    <w:rsid w:val="00CC6B99"/>
    <w:rsid w:val="00CE170A"/>
    <w:rsid w:val="00D01E47"/>
    <w:rsid w:val="00D02320"/>
    <w:rsid w:val="00D062B9"/>
    <w:rsid w:val="00D114AD"/>
    <w:rsid w:val="00D11D34"/>
    <w:rsid w:val="00D13916"/>
    <w:rsid w:val="00D27B80"/>
    <w:rsid w:val="00D31327"/>
    <w:rsid w:val="00D31FE9"/>
    <w:rsid w:val="00D5252C"/>
    <w:rsid w:val="00D55431"/>
    <w:rsid w:val="00D6330D"/>
    <w:rsid w:val="00D7307A"/>
    <w:rsid w:val="00D75D5F"/>
    <w:rsid w:val="00D8473F"/>
    <w:rsid w:val="00DA36C5"/>
    <w:rsid w:val="00DA4752"/>
    <w:rsid w:val="00DA7CCE"/>
    <w:rsid w:val="00DB35D6"/>
    <w:rsid w:val="00DB4DA1"/>
    <w:rsid w:val="00DB7F3D"/>
    <w:rsid w:val="00DC7064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093"/>
    <w:rsid w:val="00E205A7"/>
    <w:rsid w:val="00E22EBF"/>
    <w:rsid w:val="00E25F8D"/>
    <w:rsid w:val="00E27A2C"/>
    <w:rsid w:val="00E30350"/>
    <w:rsid w:val="00E309B6"/>
    <w:rsid w:val="00E3109C"/>
    <w:rsid w:val="00E31935"/>
    <w:rsid w:val="00E33251"/>
    <w:rsid w:val="00E3463C"/>
    <w:rsid w:val="00E34BFE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3A3C"/>
    <w:rsid w:val="00F07CDC"/>
    <w:rsid w:val="00F130B3"/>
    <w:rsid w:val="00F13EF7"/>
    <w:rsid w:val="00F148B9"/>
    <w:rsid w:val="00F22D79"/>
    <w:rsid w:val="00F2317D"/>
    <w:rsid w:val="00F34060"/>
    <w:rsid w:val="00F35545"/>
    <w:rsid w:val="00F36D3F"/>
    <w:rsid w:val="00F37428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92799"/>
    <w:rsid w:val="00FD1B21"/>
    <w:rsid w:val="00FD3F31"/>
    <w:rsid w:val="00FD4CCD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1AD5-2643-4FD4-97EC-AD79600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62</cp:revision>
  <cp:lastPrinted>2018-06-11T07:22:00Z</cp:lastPrinted>
  <dcterms:created xsi:type="dcterms:W3CDTF">2019-03-07T21:54:00Z</dcterms:created>
  <dcterms:modified xsi:type="dcterms:W3CDTF">2021-11-26T08:55:00Z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